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Pr="00D15513" w:rsidRDefault="0038604C" w:rsidP="00135B6B">
      <w:pPr>
        <w:jc w:val="center"/>
        <w:rPr>
          <w:rFonts w:ascii="Times" w:hAnsi="Times" w:cs="Times"/>
          <w:b/>
          <w:bCs/>
          <w:i/>
          <w:iCs/>
          <w:sz w:val="48"/>
          <w:szCs w:val="48"/>
          <w:u w:val="single"/>
        </w:rPr>
      </w:pPr>
      <w:r>
        <w:rPr>
          <w:rFonts w:ascii="Times" w:hAnsi="Times" w:cs="Times"/>
          <w:b/>
          <w:bCs/>
          <w:i/>
          <w:iCs/>
          <w:sz w:val="48"/>
          <w:szCs w:val="48"/>
          <w:u w:val="single"/>
        </w:rPr>
        <w:t>CONCLUSION</w:t>
      </w:r>
      <w:r w:rsidRPr="00D15513">
        <w:rPr>
          <w:rFonts w:ascii="Times" w:hAnsi="Times" w:cs="Times"/>
          <w:b/>
          <w:bCs/>
          <w:i/>
          <w:iCs/>
          <w:sz w:val="48"/>
          <w:szCs w:val="48"/>
          <w:u w:val="single"/>
        </w:rPr>
        <w:t xml:space="preserve"> GENERALE</w:t>
      </w:r>
    </w:p>
    <w:p w:rsidR="0038604C" w:rsidRDefault="0038604C" w:rsidP="00135B6B">
      <w:pPr>
        <w:jc w:val="center"/>
        <w:rPr>
          <w:rFonts w:ascii="Times" w:hAnsi="Times" w:cs="Times"/>
          <w:b/>
          <w:bCs/>
          <w:sz w:val="26"/>
          <w:szCs w:val="26"/>
        </w:rPr>
      </w:pPr>
    </w:p>
    <w:p w:rsidR="0038604C" w:rsidRDefault="0038604C" w:rsidP="00135B6B">
      <w:pPr>
        <w:jc w:val="center"/>
        <w:rPr>
          <w:rFonts w:ascii="Times" w:hAnsi="Times" w:cs="Times"/>
          <w:b/>
          <w:bCs/>
          <w:sz w:val="26"/>
          <w:szCs w:val="26"/>
        </w:rPr>
      </w:pPr>
    </w:p>
    <w:p w:rsidR="0038604C" w:rsidRDefault="0038604C">
      <w:pPr>
        <w:spacing w:after="200" w:line="276" w:lineRule="auto"/>
        <w:rPr>
          <w:rFonts w:ascii="Times" w:hAnsi="Times" w:cs="Times"/>
          <w:b/>
          <w:bCs/>
          <w:sz w:val="26"/>
          <w:szCs w:val="26"/>
        </w:rPr>
      </w:pPr>
      <w:r>
        <w:rPr>
          <w:rFonts w:ascii="Times" w:hAnsi="Times" w:cs="Times"/>
          <w:b/>
          <w:bCs/>
          <w:sz w:val="26"/>
          <w:szCs w:val="26"/>
        </w:rPr>
        <w:br w:type="page"/>
      </w:r>
    </w:p>
    <w:p w:rsidR="0038604C" w:rsidRPr="00AE25E8" w:rsidRDefault="0038604C" w:rsidP="00135B6B">
      <w:pPr>
        <w:autoSpaceDE w:val="0"/>
        <w:autoSpaceDN w:val="0"/>
        <w:adjustRightInd w:val="0"/>
        <w:ind w:left="567"/>
        <w:jc w:val="center"/>
        <w:rPr>
          <w:b/>
          <w:bCs/>
          <w:color w:val="000000"/>
          <w:sz w:val="28"/>
          <w:szCs w:val="28"/>
          <w:u w:val="single"/>
        </w:rPr>
      </w:pPr>
      <w:r>
        <w:rPr>
          <w:b/>
          <w:bCs/>
          <w:color w:val="000000"/>
          <w:sz w:val="28"/>
          <w:szCs w:val="28"/>
          <w:u w:val="single"/>
        </w:rPr>
        <w:t>CONCLUSION</w:t>
      </w:r>
      <w:r w:rsidRPr="00AE25E8">
        <w:rPr>
          <w:b/>
          <w:bCs/>
          <w:color w:val="000000"/>
          <w:sz w:val="28"/>
          <w:szCs w:val="28"/>
          <w:u w:val="single"/>
        </w:rPr>
        <w:t xml:space="preserve"> GENERALE</w:t>
      </w:r>
    </w:p>
    <w:p w:rsidR="0038604C" w:rsidRDefault="0038604C" w:rsidP="00135B6B">
      <w:pPr>
        <w:autoSpaceDE w:val="0"/>
        <w:autoSpaceDN w:val="0"/>
        <w:adjustRightInd w:val="0"/>
        <w:ind w:left="1560"/>
        <w:jc w:val="both"/>
        <w:rPr>
          <w:b/>
          <w:bCs/>
          <w:color w:val="000000"/>
          <w:u w:val="single"/>
        </w:rPr>
      </w:pPr>
    </w:p>
    <w:p w:rsidR="0038604C" w:rsidRPr="003C6B7B" w:rsidRDefault="0038604C" w:rsidP="003C6B7B">
      <w:pPr>
        <w:pStyle w:val="Paragraphedeliste"/>
        <w:numPr>
          <w:ilvl w:val="0"/>
          <w:numId w:val="4"/>
        </w:numPr>
        <w:autoSpaceDE w:val="0"/>
        <w:autoSpaceDN w:val="0"/>
        <w:adjustRightInd w:val="0"/>
        <w:jc w:val="both"/>
        <w:rPr>
          <w:b/>
          <w:bCs/>
          <w:color w:val="000000"/>
          <w:u w:val="single"/>
        </w:rPr>
      </w:pPr>
      <w:r>
        <w:rPr>
          <w:b/>
          <w:bCs/>
          <w:color w:val="000000"/>
          <w:u w:val="single"/>
        </w:rPr>
        <w:t>CONCLUSIONS</w:t>
      </w:r>
      <w:r w:rsidRPr="003C6B7B">
        <w:rPr>
          <w:b/>
          <w:bCs/>
          <w:color w:val="000000"/>
          <w:u w:val="single"/>
        </w:rPr>
        <w:t xml:space="preserve"> </w:t>
      </w:r>
    </w:p>
    <w:p w:rsidR="0038604C" w:rsidRDefault="0038604C" w:rsidP="00135B6B">
      <w:pPr>
        <w:autoSpaceDE w:val="0"/>
        <w:autoSpaceDN w:val="0"/>
        <w:adjustRightInd w:val="0"/>
        <w:ind w:left="567" w:firstLine="1134"/>
        <w:jc w:val="both"/>
        <w:rPr>
          <w:color w:val="000000"/>
        </w:rPr>
      </w:pPr>
    </w:p>
    <w:p w:rsidR="0038604C" w:rsidRDefault="0038604C" w:rsidP="007303E8">
      <w:pPr>
        <w:autoSpaceDE w:val="0"/>
        <w:autoSpaceDN w:val="0"/>
        <w:adjustRightInd w:val="0"/>
        <w:spacing w:line="360" w:lineRule="auto"/>
        <w:ind w:left="567" w:firstLine="1134"/>
        <w:jc w:val="both"/>
        <w:rPr>
          <w:color w:val="000000"/>
        </w:rPr>
      </w:pPr>
      <w:r w:rsidRPr="000F263E">
        <w:rPr>
          <w:color w:val="000000"/>
        </w:rPr>
        <w:t>La conclusion la plus claire et évidente à titrer de notre approche si modeste soit e</w:t>
      </w:r>
      <w:r>
        <w:rPr>
          <w:color w:val="000000"/>
        </w:rPr>
        <w:t>ll</w:t>
      </w:r>
      <w:r w:rsidRPr="000F263E">
        <w:rPr>
          <w:color w:val="000000"/>
        </w:rPr>
        <w:t xml:space="preserve">e est de définir la complexité du phénomène de transport et  de déplacement urbains. </w:t>
      </w:r>
      <w:r>
        <w:rPr>
          <w:color w:val="000000"/>
        </w:rPr>
        <w:t>En effet, nous avons tout le long de notre approche tant initiale qu’approfondie au vu du cas d’étude, établi que les limites fonctionnelles et institutionnelles du réseau de déplacement sont souvent confuses d’où l’incapacité à optimiser la gestion des réseaux et donc du déplacement ; ce qui demeure la source de toutes les pertes de qualité et leur désagrément à l’instar de l’usager.</w:t>
      </w:r>
    </w:p>
    <w:p w:rsidR="0038604C" w:rsidRDefault="0038604C" w:rsidP="007303E8">
      <w:pPr>
        <w:autoSpaceDE w:val="0"/>
        <w:autoSpaceDN w:val="0"/>
        <w:adjustRightInd w:val="0"/>
        <w:spacing w:line="360" w:lineRule="auto"/>
        <w:ind w:left="567" w:firstLine="1134"/>
        <w:jc w:val="both"/>
        <w:rPr>
          <w:color w:val="000000"/>
        </w:rPr>
      </w:pPr>
      <w:r>
        <w:rPr>
          <w:color w:val="000000"/>
        </w:rPr>
        <w:t>Les effets de ces anomalies sont d’autant plus couteux qu’elles ont des couts externes qui rendent lourdes les solutions à apporter.</w:t>
      </w:r>
    </w:p>
    <w:p w:rsidR="0038604C" w:rsidRPr="003C6B7B" w:rsidRDefault="0038604C" w:rsidP="003C6B7B">
      <w:pPr>
        <w:autoSpaceDE w:val="0"/>
        <w:autoSpaceDN w:val="0"/>
        <w:adjustRightInd w:val="0"/>
        <w:spacing w:line="360" w:lineRule="auto"/>
        <w:ind w:left="567" w:firstLine="1134"/>
        <w:jc w:val="both"/>
        <w:rPr>
          <w:color w:val="000000"/>
        </w:rPr>
      </w:pPr>
      <w:r w:rsidRPr="003C6B7B">
        <w:rPr>
          <w:color w:val="000000"/>
        </w:rPr>
        <w:t>L’acteur intercommunal ne saisit pas l’opportunité des pôles d’échanges pour renforcer les liens entre ville et transport.</w:t>
      </w:r>
    </w:p>
    <w:p w:rsidR="0038604C" w:rsidRPr="003C6B7B" w:rsidRDefault="0038604C" w:rsidP="003C6B7B">
      <w:pPr>
        <w:autoSpaceDE w:val="0"/>
        <w:autoSpaceDN w:val="0"/>
        <w:adjustRightInd w:val="0"/>
        <w:spacing w:line="360" w:lineRule="auto"/>
        <w:ind w:left="567" w:firstLine="1134"/>
        <w:jc w:val="both"/>
        <w:rPr>
          <w:color w:val="000000"/>
        </w:rPr>
      </w:pPr>
      <w:r w:rsidRPr="003C6B7B">
        <w:rPr>
          <w:color w:val="000000"/>
        </w:rPr>
        <w:t>Les projets de transports et les projets urbains autour des pôles d’échanges apparaissent souvent dissociés et parfois même concurrents.</w:t>
      </w:r>
    </w:p>
    <w:p w:rsidR="0038604C" w:rsidRDefault="0038604C" w:rsidP="003C6B7B">
      <w:pPr>
        <w:autoSpaceDE w:val="0"/>
        <w:autoSpaceDN w:val="0"/>
        <w:adjustRightInd w:val="0"/>
        <w:spacing w:line="360" w:lineRule="auto"/>
        <w:ind w:left="567" w:firstLine="1134"/>
        <w:jc w:val="both"/>
        <w:rPr>
          <w:color w:val="000000"/>
        </w:rPr>
      </w:pPr>
      <w:r w:rsidRPr="003C6B7B">
        <w:rPr>
          <w:color w:val="000000"/>
        </w:rPr>
        <w:t>Les plans de réseaux valorisent peu la représentation des potentiels intermodaux et identifient les périmètres administratifs</w:t>
      </w:r>
    </w:p>
    <w:p w:rsidR="0038604C" w:rsidRPr="003C6B7B" w:rsidRDefault="0038604C" w:rsidP="00212E26">
      <w:pPr>
        <w:autoSpaceDE w:val="0"/>
        <w:autoSpaceDN w:val="0"/>
        <w:adjustRightInd w:val="0"/>
        <w:spacing w:line="360" w:lineRule="auto"/>
        <w:ind w:left="567" w:firstLine="1134"/>
        <w:jc w:val="both"/>
        <w:rPr>
          <w:color w:val="000000"/>
        </w:rPr>
      </w:pPr>
      <w:r w:rsidRPr="003C6B7B">
        <w:rPr>
          <w:color w:val="000000"/>
        </w:rPr>
        <w:t>Les pôles d’échanges apparaissent comme des espaces où les frontières entre acteurs institutionnels restent marquées.</w:t>
      </w:r>
    </w:p>
    <w:p w:rsidR="0038604C" w:rsidRPr="003C6B7B" w:rsidRDefault="0038604C" w:rsidP="00212E26">
      <w:pPr>
        <w:autoSpaceDE w:val="0"/>
        <w:autoSpaceDN w:val="0"/>
        <w:adjustRightInd w:val="0"/>
        <w:spacing w:line="360" w:lineRule="auto"/>
        <w:ind w:left="567" w:firstLine="1134"/>
        <w:jc w:val="both"/>
        <w:rPr>
          <w:color w:val="000000"/>
        </w:rPr>
      </w:pPr>
      <w:r w:rsidRPr="003C6B7B">
        <w:rPr>
          <w:color w:val="000000"/>
        </w:rPr>
        <w:t>L’aménagement et la représentation des pôles d’échanges témoignent de la difficulté qu’ont les institutions locales à dépasser leurs cloisonnements.</w:t>
      </w:r>
    </w:p>
    <w:p w:rsidR="0038604C" w:rsidRDefault="0038604C" w:rsidP="003C6B7B">
      <w:pPr>
        <w:autoSpaceDE w:val="0"/>
        <w:autoSpaceDN w:val="0"/>
        <w:adjustRightInd w:val="0"/>
        <w:spacing w:line="360" w:lineRule="auto"/>
        <w:ind w:left="567" w:firstLine="1134"/>
        <w:jc w:val="both"/>
        <w:rPr>
          <w:color w:val="000000"/>
        </w:rPr>
      </w:pPr>
      <w:r>
        <w:rPr>
          <w:color w:val="000000"/>
        </w:rPr>
        <w:t>Les instruments d’urbanisme PDAU  et POS ( Plan directeur d’aménagement et d’urbanisme et Plan d’occupation des sols) sont actuellement limités dans leur portée pratique, soit par la lenteur de leur élaboration, soit par le mode même de leur élaboration. L’absence de nouveaux instruments comme les PLU (Plan local d’urbanisme), les PDU (Plan de déplacement urbain) et des SCOT (Schéma de cohérence territorial) au niveau de l’urbanisme opérationnel</w:t>
      </w:r>
      <w:r w:rsidRPr="003C6B7B">
        <w:rPr>
          <w:color w:val="000000"/>
        </w:rPr>
        <w:t>,</w:t>
      </w:r>
      <w:r>
        <w:rPr>
          <w:color w:val="000000"/>
        </w:rPr>
        <w:t xml:space="preserve"> rend insignifiant d’envisager la création de pôles d’échanges ou</w:t>
      </w:r>
      <w:r w:rsidRPr="003C6B7B">
        <w:rPr>
          <w:color w:val="000000"/>
        </w:rPr>
        <w:t xml:space="preserve"> </w:t>
      </w:r>
      <w:r>
        <w:rPr>
          <w:color w:val="000000"/>
        </w:rPr>
        <w:t xml:space="preserve">fait que </w:t>
      </w:r>
      <w:r w:rsidRPr="003C6B7B">
        <w:rPr>
          <w:color w:val="000000"/>
        </w:rPr>
        <w:t>les nombreux projets de pôles d’échanges n’apparaissent pas comme des interfaces transport/urbanisme</w:t>
      </w:r>
      <w:r>
        <w:rPr>
          <w:color w:val="000000"/>
        </w:rPr>
        <w:t>.</w:t>
      </w:r>
    </w:p>
    <w:p w:rsidR="0038604C" w:rsidRPr="003C6B7B" w:rsidRDefault="0038604C" w:rsidP="003C6B7B">
      <w:pPr>
        <w:autoSpaceDE w:val="0"/>
        <w:autoSpaceDN w:val="0"/>
        <w:adjustRightInd w:val="0"/>
        <w:spacing w:line="360" w:lineRule="auto"/>
        <w:ind w:left="567" w:firstLine="1134"/>
        <w:jc w:val="both"/>
        <w:rPr>
          <w:color w:val="000000"/>
        </w:rPr>
      </w:pPr>
      <w:r>
        <w:rPr>
          <w:color w:val="000000"/>
        </w:rPr>
        <w:t>Les pôles existants à Mostaganem actuellement fonctionnent comme des pôles de transport uniquement et leur qualité urbaine manque énormément de viabilité.</w:t>
      </w:r>
    </w:p>
    <w:p w:rsidR="0038604C" w:rsidRPr="00721B0E" w:rsidRDefault="0038604C" w:rsidP="003C6B7B">
      <w:pPr>
        <w:numPr>
          <w:ilvl w:val="0"/>
          <w:numId w:val="4"/>
        </w:numPr>
        <w:autoSpaceDE w:val="0"/>
        <w:autoSpaceDN w:val="0"/>
        <w:adjustRightInd w:val="0"/>
        <w:jc w:val="both"/>
        <w:rPr>
          <w:b/>
          <w:bCs/>
          <w:caps/>
          <w:color w:val="000000"/>
          <w:u w:val="single"/>
        </w:rPr>
      </w:pPr>
      <w:r>
        <w:rPr>
          <w:b/>
          <w:bCs/>
          <w:caps/>
          <w:color w:val="000000"/>
          <w:u w:val="single"/>
        </w:rPr>
        <w:lastRenderedPageBreak/>
        <w:t>PERSPECTIVES DE RECHERCHE</w:t>
      </w:r>
    </w:p>
    <w:p w:rsidR="0038604C" w:rsidRDefault="0038604C" w:rsidP="003430E3">
      <w:pPr>
        <w:autoSpaceDE w:val="0"/>
        <w:autoSpaceDN w:val="0"/>
        <w:adjustRightInd w:val="0"/>
        <w:spacing w:line="360" w:lineRule="auto"/>
        <w:ind w:left="567" w:firstLine="1134"/>
        <w:jc w:val="both"/>
        <w:rPr>
          <w:color w:val="000000"/>
        </w:rPr>
      </w:pPr>
    </w:p>
    <w:p w:rsidR="0038604C" w:rsidRDefault="0038604C" w:rsidP="003430E3">
      <w:pPr>
        <w:autoSpaceDE w:val="0"/>
        <w:autoSpaceDN w:val="0"/>
        <w:adjustRightInd w:val="0"/>
        <w:spacing w:line="360" w:lineRule="auto"/>
        <w:ind w:left="567" w:firstLine="1134"/>
        <w:jc w:val="both"/>
        <w:rPr>
          <w:color w:val="000000"/>
        </w:rPr>
      </w:pPr>
      <w:r>
        <w:rPr>
          <w:color w:val="000000"/>
        </w:rPr>
        <w:t>Nous avons modestement tenté de mettre en avant deux idées principales qui méritent toutes les deux d’être approfondies au moyen d’une recherche exhaustive avec enquêtes de terrain.</w:t>
      </w:r>
    </w:p>
    <w:p w:rsidR="0038604C" w:rsidRDefault="0038604C" w:rsidP="000F263E">
      <w:pPr>
        <w:autoSpaceDE w:val="0"/>
        <w:autoSpaceDN w:val="0"/>
        <w:adjustRightInd w:val="0"/>
        <w:spacing w:line="360" w:lineRule="auto"/>
        <w:ind w:left="567" w:firstLine="1134"/>
        <w:jc w:val="both"/>
        <w:rPr>
          <w:color w:val="000000"/>
        </w:rPr>
      </w:pPr>
      <w:r>
        <w:rPr>
          <w:color w:val="000000"/>
        </w:rPr>
        <w:t>Les deux approches sont parallèles et toutes nécessaires; l’une consiste à traiter l’aspect juridique pour établir le manque en instruments d’urbanisme et la lourdeur d’élaboration et de validation de ces moyens opérationnel  ainsi que leur portée réelle sur le détail. Ces manques touchent les instruments comme les PLU (Plan Local d’Urbanisme), les SCOT (Schéma de Cohérence Territoriale) et tout autre sous instruments capable d’encadrer de manière objective et évolutive la planification et l’urbanisme opérationnels.</w:t>
      </w:r>
    </w:p>
    <w:p w:rsidR="0038604C" w:rsidRDefault="0038604C" w:rsidP="000F263E">
      <w:pPr>
        <w:autoSpaceDE w:val="0"/>
        <w:autoSpaceDN w:val="0"/>
        <w:adjustRightInd w:val="0"/>
        <w:spacing w:line="360" w:lineRule="auto"/>
        <w:ind w:left="567" w:firstLine="1134"/>
        <w:jc w:val="both"/>
        <w:rPr>
          <w:color w:val="000000"/>
        </w:rPr>
      </w:pPr>
    </w:p>
    <w:p w:rsidR="0038604C" w:rsidRDefault="0038604C" w:rsidP="000F263E">
      <w:pPr>
        <w:autoSpaceDE w:val="0"/>
        <w:autoSpaceDN w:val="0"/>
        <w:adjustRightInd w:val="0"/>
        <w:spacing w:line="360" w:lineRule="auto"/>
        <w:ind w:left="567" w:firstLine="1134"/>
        <w:jc w:val="both"/>
        <w:rPr>
          <w:color w:val="000000"/>
        </w:rPr>
      </w:pPr>
      <w:r>
        <w:rPr>
          <w:color w:val="000000"/>
        </w:rPr>
        <w:t>L’autre aspect de l’approfondissement de la recherche consiste à dresser un bilan chiffré et échantillonné de manière correcte sur l’usager, les opérateurs et le support physique urbain et périurbain.</w:t>
      </w:r>
    </w:p>
    <w:p w:rsidR="0038604C" w:rsidRDefault="0038604C" w:rsidP="00325778">
      <w:pPr>
        <w:autoSpaceDE w:val="0"/>
        <w:autoSpaceDN w:val="0"/>
        <w:adjustRightInd w:val="0"/>
        <w:spacing w:line="360" w:lineRule="auto"/>
        <w:ind w:left="567" w:firstLine="1134"/>
        <w:jc w:val="both"/>
        <w:rPr>
          <w:color w:val="000000"/>
        </w:rPr>
      </w:pPr>
    </w:p>
    <w:p w:rsidR="0038604C" w:rsidRDefault="0038604C" w:rsidP="00325778">
      <w:pPr>
        <w:autoSpaceDE w:val="0"/>
        <w:autoSpaceDN w:val="0"/>
        <w:adjustRightInd w:val="0"/>
        <w:spacing w:line="360" w:lineRule="auto"/>
        <w:ind w:left="567" w:firstLine="1134"/>
        <w:jc w:val="both"/>
        <w:rPr>
          <w:color w:val="000000"/>
        </w:rPr>
      </w:pPr>
      <w:r>
        <w:rPr>
          <w:color w:val="000000"/>
        </w:rPr>
        <w:t>D’autre part et dans un contexte purement administratif il n’est pas fortuit de constater que les disfonctionnement entre structures administratives est aussi dus à un délaissement arbitraire des taches de chaque intervenant. La lourdeur d’approbation des PDAU et POS, leur dépassement dans le temps et l’absence d’autres instruments d’urbanisme comme les PLU, les PDU et les SCOT les rend inexploitables. L’absence d’utilisation des SIG (Systèmes d’information géographique) dans le traitement et la simulation des situations des réseaux pour dresser d’éventuels bilans rend la tache de toute évolution qualitative. Cet axes et aussi un axe de recherche que l’ont pourrait développer en dehors des deux questions posées ci-haut.</w:t>
      </w:r>
    </w:p>
    <w:p w:rsidR="0038604C" w:rsidRDefault="0038604C" w:rsidP="000F263E">
      <w:pPr>
        <w:autoSpaceDE w:val="0"/>
        <w:autoSpaceDN w:val="0"/>
        <w:adjustRightInd w:val="0"/>
        <w:spacing w:line="360" w:lineRule="auto"/>
        <w:ind w:left="567" w:firstLine="1134"/>
        <w:jc w:val="both"/>
        <w:rPr>
          <w:color w:val="000000"/>
        </w:rPr>
      </w:pPr>
    </w:p>
    <w:p w:rsidR="0038604C" w:rsidRDefault="0038604C" w:rsidP="003430E3">
      <w:pPr>
        <w:autoSpaceDE w:val="0"/>
        <w:autoSpaceDN w:val="0"/>
        <w:adjustRightInd w:val="0"/>
        <w:ind w:firstLine="851"/>
        <w:jc w:val="both"/>
        <w:rPr>
          <w:color w:val="000000"/>
        </w:rPr>
      </w:pPr>
    </w:p>
    <w:sectPr w:rsidR="0038604C" w:rsidSect="00344F4E">
      <w:headerReference w:type="default" r:id="rId7"/>
      <w:footerReference w:type="even" r:id="rId8"/>
      <w:footerReference w:type="default" r:id="rId9"/>
      <w:pgSz w:w="11906" w:h="16838"/>
      <w:pgMar w:top="1440" w:right="1800" w:bottom="1440" w:left="1134" w:header="708" w:footer="708" w:gutter="0"/>
      <w:pgNumType w:start="8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1708" w:rsidRDefault="00141708" w:rsidP="00135B6B">
      <w:r>
        <w:separator/>
      </w:r>
    </w:p>
  </w:endnote>
  <w:endnote w:type="continuationSeparator" w:id="1">
    <w:p w:rsidR="00141708" w:rsidRDefault="00141708" w:rsidP="00135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4C" w:rsidRDefault="008B0DA2" w:rsidP="00EB09A6">
    <w:pPr>
      <w:pStyle w:val="Pieddepage"/>
      <w:framePr w:wrap="around" w:vAnchor="text" w:hAnchor="margin" w:xAlign="right" w:y="1"/>
      <w:rPr>
        <w:rStyle w:val="Numrodepage"/>
      </w:rPr>
    </w:pPr>
    <w:r>
      <w:rPr>
        <w:rStyle w:val="Numrodepage"/>
      </w:rPr>
      <w:fldChar w:fldCharType="begin"/>
    </w:r>
    <w:r w:rsidR="0038604C">
      <w:rPr>
        <w:rStyle w:val="Numrodepage"/>
      </w:rPr>
      <w:instrText xml:space="preserve">PAGE  </w:instrText>
    </w:r>
    <w:r>
      <w:rPr>
        <w:rStyle w:val="Numrodepage"/>
      </w:rPr>
      <w:fldChar w:fldCharType="separate"/>
    </w:r>
    <w:r w:rsidR="0038604C">
      <w:rPr>
        <w:rStyle w:val="Numrodepage"/>
        <w:noProof/>
      </w:rPr>
      <w:t>84</w:t>
    </w:r>
    <w:r>
      <w:rPr>
        <w:rStyle w:val="Numrodepage"/>
      </w:rPr>
      <w:fldChar w:fldCharType="end"/>
    </w:r>
  </w:p>
  <w:p w:rsidR="0038604C" w:rsidRDefault="0038604C" w:rsidP="00212E26">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4C" w:rsidRDefault="008B0DA2" w:rsidP="00EB09A6">
    <w:pPr>
      <w:pStyle w:val="Pieddepage"/>
      <w:framePr w:wrap="around" w:vAnchor="text" w:hAnchor="margin" w:xAlign="right" w:y="1"/>
      <w:rPr>
        <w:rStyle w:val="Numrodepage"/>
      </w:rPr>
    </w:pPr>
    <w:r>
      <w:rPr>
        <w:rStyle w:val="Numrodepage"/>
      </w:rPr>
      <w:fldChar w:fldCharType="begin"/>
    </w:r>
    <w:r w:rsidR="0038604C">
      <w:rPr>
        <w:rStyle w:val="Numrodepage"/>
      </w:rPr>
      <w:instrText xml:space="preserve">PAGE  </w:instrText>
    </w:r>
    <w:r>
      <w:rPr>
        <w:rStyle w:val="Numrodepage"/>
      </w:rPr>
      <w:fldChar w:fldCharType="separate"/>
    </w:r>
    <w:r w:rsidR="00597472">
      <w:rPr>
        <w:rStyle w:val="Numrodepage"/>
        <w:noProof/>
      </w:rPr>
      <w:t>88</w:t>
    </w:r>
    <w:r>
      <w:rPr>
        <w:rStyle w:val="Numrodepage"/>
      </w:rPr>
      <w:fldChar w:fldCharType="end"/>
    </w:r>
  </w:p>
  <w:p w:rsidR="0038604C" w:rsidRDefault="0038604C" w:rsidP="00212E26">
    <w:pPr>
      <w:pStyle w:val="Pieddepage"/>
      <w:pBdr>
        <w:top w:val="thinThickSmallGap" w:sz="24" w:space="0" w:color="622423"/>
      </w:pBdr>
      <w:tabs>
        <w:tab w:val="clear" w:pos="4536"/>
        <w:tab w:val="clear" w:pos="9072"/>
        <w:tab w:val="right" w:pos="9638"/>
      </w:tabs>
      <w:ind w:right="360"/>
      <w:rPr>
        <w:rFonts w:ascii="Cambria" w:hAnsi="Cambria"/>
      </w:rPr>
    </w:pPr>
    <w:r>
      <w:rPr>
        <w:rFonts w:ascii="Cambria" w:hAnsi="Cambria"/>
        <w:sz w:val="16"/>
        <w:szCs w:val="16"/>
      </w:rPr>
      <w:t xml:space="preserve">Intermodalité et Systèmes de Transport Durables – Cas de </w:t>
    </w:r>
    <w:smartTag w:uri="urn:schemas-microsoft-com:office:smarttags" w:element="PersonName">
      <w:smartTagPr>
        <w:attr w:name="ProductID" w:val="la Wilaya"/>
      </w:smartTagPr>
      <w:r>
        <w:rPr>
          <w:rFonts w:ascii="Cambria" w:hAnsi="Cambria"/>
          <w:sz w:val="16"/>
          <w:szCs w:val="16"/>
        </w:rPr>
        <w:t>la Wilaya</w:t>
      </w:r>
    </w:smartTag>
    <w:r>
      <w:rPr>
        <w:rFonts w:ascii="Cambria" w:hAnsi="Cambria"/>
        <w:sz w:val="16"/>
        <w:szCs w:val="16"/>
      </w:rPr>
      <w:t xml:space="preserve"> de Mostaganem-                                                                      </w:t>
    </w:r>
    <w:r w:rsidRPr="009F2659">
      <w:rPr>
        <w:rFonts w:ascii="Cambria" w:hAnsi="Cambria"/>
        <w:sz w:val="16"/>
        <w:szCs w:val="16"/>
      </w:rPr>
      <w:t>Page</w:t>
    </w:r>
    <w:r>
      <w:rPr>
        <w:rFonts w:ascii="Cambria" w:hAnsi="Cambria"/>
        <w:sz w:val="16"/>
        <w:szCs w:val="16"/>
      </w:rPr>
      <w:tab/>
    </w:r>
    <w:r>
      <w:rPr>
        <w:rFonts w:ascii="Cambria" w:hAnsi="Cambria"/>
      </w:rPr>
      <w:t xml:space="preserve"> </w:t>
    </w:r>
  </w:p>
  <w:p w:rsidR="0038604C" w:rsidRDefault="0038604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1708" w:rsidRDefault="00141708" w:rsidP="00135B6B">
      <w:r>
        <w:separator/>
      </w:r>
    </w:p>
  </w:footnote>
  <w:footnote w:type="continuationSeparator" w:id="1">
    <w:p w:rsidR="00141708" w:rsidRDefault="00141708" w:rsidP="00135B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04C" w:rsidRPr="00135B6B" w:rsidRDefault="008B0DA2" w:rsidP="00135B6B">
    <w:pPr>
      <w:pStyle w:val="En-tte"/>
      <w:jc w:val="right"/>
      <w:rPr>
        <w:i/>
        <w:iCs/>
        <w:sz w:val="20"/>
        <w:szCs w:val="20"/>
        <w:u w:val="single"/>
      </w:rPr>
    </w:pPr>
    <w:r w:rsidRPr="008B0DA2">
      <w:rPr>
        <w:noProof/>
      </w:rPr>
      <w:pict>
        <v:shapetype id="_x0000_t32" coordsize="21600,21600" o:spt="32" o:oned="t" path="m,l21600,21600e" filled="f">
          <v:path arrowok="t" fillok="f" o:connecttype="none"/>
          <o:lock v:ext="edit" shapetype="t"/>
        </v:shapetype>
        <v:shape id="_x0000_s2049" type="#_x0000_t32" style="position:absolute;left:0;text-align:left;margin-left:25.95pt;margin-top:22.9pt;width:424.9pt;height:0;z-index:1" o:connectortype="straight" strokeweight="1.5pt"/>
      </w:pict>
    </w:r>
    <w:r w:rsidR="0038604C">
      <w:rPr>
        <w:i/>
        <w:iCs/>
        <w:sz w:val="20"/>
        <w:szCs w:val="20"/>
        <w:u w:val="single"/>
      </w:rPr>
      <w:t>CONCLUSION</w:t>
    </w:r>
    <w:r w:rsidR="0038604C" w:rsidRPr="00135B6B">
      <w:rPr>
        <w:i/>
        <w:iCs/>
        <w:sz w:val="20"/>
        <w:szCs w:val="20"/>
        <w:u w:val="single"/>
      </w:rPr>
      <w:t xml:space="preserve"> GENERALE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4428D"/>
    <w:multiLevelType w:val="hybridMultilevel"/>
    <w:tmpl w:val="D96E0952"/>
    <w:lvl w:ilvl="0" w:tplc="040C000F">
      <w:start w:val="1"/>
      <w:numFmt w:val="decimal"/>
      <w:lvlText w:val="%1."/>
      <w:lvlJc w:val="left"/>
      <w:pPr>
        <w:ind w:left="2138" w:hanging="360"/>
      </w:pPr>
      <w:rPr>
        <w:rFonts w:cs="Times New Roman"/>
      </w:rPr>
    </w:lvl>
    <w:lvl w:ilvl="1" w:tplc="040C0019" w:tentative="1">
      <w:start w:val="1"/>
      <w:numFmt w:val="lowerLetter"/>
      <w:lvlText w:val="%2."/>
      <w:lvlJc w:val="left"/>
      <w:pPr>
        <w:ind w:left="2858" w:hanging="360"/>
      </w:pPr>
      <w:rPr>
        <w:rFonts w:cs="Times New Roman"/>
      </w:rPr>
    </w:lvl>
    <w:lvl w:ilvl="2" w:tplc="040C001B" w:tentative="1">
      <w:start w:val="1"/>
      <w:numFmt w:val="lowerRoman"/>
      <w:lvlText w:val="%3."/>
      <w:lvlJc w:val="right"/>
      <w:pPr>
        <w:ind w:left="3578" w:hanging="180"/>
      </w:pPr>
      <w:rPr>
        <w:rFonts w:cs="Times New Roman"/>
      </w:rPr>
    </w:lvl>
    <w:lvl w:ilvl="3" w:tplc="040C000F" w:tentative="1">
      <w:start w:val="1"/>
      <w:numFmt w:val="decimal"/>
      <w:lvlText w:val="%4."/>
      <w:lvlJc w:val="left"/>
      <w:pPr>
        <w:ind w:left="4298" w:hanging="360"/>
      </w:pPr>
      <w:rPr>
        <w:rFonts w:cs="Times New Roman"/>
      </w:rPr>
    </w:lvl>
    <w:lvl w:ilvl="4" w:tplc="040C0019" w:tentative="1">
      <w:start w:val="1"/>
      <w:numFmt w:val="lowerLetter"/>
      <w:lvlText w:val="%5."/>
      <w:lvlJc w:val="left"/>
      <w:pPr>
        <w:ind w:left="5018" w:hanging="360"/>
      </w:pPr>
      <w:rPr>
        <w:rFonts w:cs="Times New Roman"/>
      </w:rPr>
    </w:lvl>
    <w:lvl w:ilvl="5" w:tplc="040C001B" w:tentative="1">
      <w:start w:val="1"/>
      <w:numFmt w:val="lowerRoman"/>
      <w:lvlText w:val="%6."/>
      <w:lvlJc w:val="right"/>
      <w:pPr>
        <w:ind w:left="5738" w:hanging="180"/>
      </w:pPr>
      <w:rPr>
        <w:rFonts w:cs="Times New Roman"/>
      </w:rPr>
    </w:lvl>
    <w:lvl w:ilvl="6" w:tplc="040C000F" w:tentative="1">
      <w:start w:val="1"/>
      <w:numFmt w:val="decimal"/>
      <w:lvlText w:val="%7."/>
      <w:lvlJc w:val="left"/>
      <w:pPr>
        <w:ind w:left="6458" w:hanging="360"/>
      </w:pPr>
      <w:rPr>
        <w:rFonts w:cs="Times New Roman"/>
      </w:rPr>
    </w:lvl>
    <w:lvl w:ilvl="7" w:tplc="040C0019" w:tentative="1">
      <w:start w:val="1"/>
      <w:numFmt w:val="lowerLetter"/>
      <w:lvlText w:val="%8."/>
      <w:lvlJc w:val="left"/>
      <w:pPr>
        <w:ind w:left="7178" w:hanging="360"/>
      </w:pPr>
      <w:rPr>
        <w:rFonts w:cs="Times New Roman"/>
      </w:rPr>
    </w:lvl>
    <w:lvl w:ilvl="8" w:tplc="040C001B" w:tentative="1">
      <w:start w:val="1"/>
      <w:numFmt w:val="lowerRoman"/>
      <w:lvlText w:val="%9."/>
      <w:lvlJc w:val="right"/>
      <w:pPr>
        <w:ind w:left="7898" w:hanging="180"/>
      </w:pPr>
      <w:rPr>
        <w:rFonts w:cs="Times New Roman"/>
      </w:rPr>
    </w:lvl>
  </w:abstractNum>
  <w:abstractNum w:abstractNumId="1">
    <w:nsid w:val="1A671249"/>
    <w:multiLevelType w:val="hybridMultilevel"/>
    <w:tmpl w:val="7F185CB4"/>
    <w:lvl w:ilvl="0" w:tplc="040C0015">
      <w:start w:val="1"/>
      <w:numFmt w:val="upperLetter"/>
      <w:lvlText w:val="%1."/>
      <w:lvlJc w:val="left"/>
      <w:pPr>
        <w:ind w:left="2138" w:hanging="360"/>
      </w:pPr>
      <w:rPr>
        <w:rFonts w:cs="Times New Roman"/>
      </w:rPr>
    </w:lvl>
    <w:lvl w:ilvl="1" w:tplc="040C0019" w:tentative="1">
      <w:start w:val="1"/>
      <w:numFmt w:val="lowerLetter"/>
      <w:lvlText w:val="%2."/>
      <w:lvlJc w:val="left"/>
      <w:pPr>
        <w:ind w:left="2858" w:hanging="360"/>
      </w:pPr>
      <w:rPr>
        <w:rFonts w:cs="Times New Roman"/>
      </w:rPr>
    </w:lvl>
    <w:lvl w:ilvl="2" w:tplc="040C001B" w:tentative="1">
      <w:start w:val="1"/>
      <w:numFmt w:val="lowerRoman"/>
      <w:lvlText w:val="%3."/>
      <w:lvlJc w:val="right"/>
      <w:pPr>
        <w:ind w:left="3578" w:hanging="180"/>
      </w:pPr>
      <w:rPr>
        <w:rFonts w:cs="Times New Roman"/>
      </w:rPr>
    </w:lvl>
    <w:lvl w:ilvl="3" w:tplc="040C000F" w:tentative="1">
      <w:start w:val="1"/>
      <w:numFmt w:val="decimal"/>
      <w:lvlText w:val="%4."/>
      <w:lvlJc w:val="left"/>
      <w:pPr>
        <w:ind w:left="4298" w:hanging="360"/>
      </w:pPr>
      <w:rPr>
        <w:rFonts w:cs="Times New Roman"/>
      </w:rPr>
    </w:lvl>
    <w:lvl w:ilvl="4" w:tplc="040C0019" w:tentative="1">
      <w:start w:val="1"/>
      <w:numFmt w:val="lowerLetter"/>
      <w:lvlText w:val="%5."/>
      <w:lvlJc w:val="left"/>
      <w:pPr>
        <w:ind w:left="5018" w:hanging="360"/>
      </w:pPr>
      <w:rPr>
        <w:rFonts w:cs="Times New Roman"/>
      </w:rPr>
    </w:lvl>
    <w:lvl w:ilvl="5" w:tplc="040C001B" w:tentative="1">
      <w:start w:val="1"/>
      <w:numFmt w:val="lowerRoman"/>
      <w:lvlText w:val="%6."/>
      <w:lvlJc w:val="right"/>
      <w:pPr>
        <w:ind w:left="5738" w:hanging="180"/>
      </w:pPr>
      <w:rPr>
        <w:rFonts w:cs="Times New Roman"/>
      </w:rPr>
    </w:lvl>
    <w:lvl w:ilvl="6" w:tplc="040C000F" w:tentative="1">
      <w:start w:val="1"/>
      <w:numFmt w:val="decimal"/>
      <w:lvlText w:val="%7."/>
      <w:lvlJc w:val="left"/>
      <w:pPr>
        <w:ind w:left="6458" w:hanging="360"/>
      </w:pPr>
      <w:rPr>
        <w:rFonts w:cs="Times New Roman"/>
      </w:rPr>
    </w:lvl>
    <w:lvl w:ilvl="7" w:tplc="040C0019" w:tentative="1">
      <w:start w:val="1"/>
      <w:numFmt w:val="lowerLetter"/>
      <w:lvlText w:val="%8."/>
      <w:lvlJc w:val="left"/>
      <w:pPr>
        <w:ind w:left="7178" w:hanging="360"/>
      </w:pPr>
      <w:rPr>
        <w:rFonts w:cs="Times New Roman"/>
      </w:rPr>
    </w:lvl>
    <w:lvl w:ilvl="8" w:tplc="040C001B" w:tentative="1">
      <w:start w:val="1"/>
      <w:numFmt w:val="lowerRoman"/>
      <w:lvlText w:val="%9."/>
      <w:lvlJc w:val="right"/>
      <w:pPr>
        <w:ind w:left="7898" w:hanging="180"/>
      </w:pPr>
      <w:rPr>
        <w:rFonts w:cs="Times New Roman"/>
      </w:rPr>
    </w:lvl>
  </w:abstractNum>
  <w:abstractNum w:abstractNumId="2">
    <w:nsid w:val="54A62D16"/>
    <w:multiLevelType w:val="hybridMultilevel"/>
    <w:tmpl w:val="BACCDEDE"/>
    <w:lvl w:ilvl="0" w:tplc="040C0015">
      <w:start w:val="1"/>
      <w:numFmt w:val="upperLetter"/>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54C608B3"/>
    <w:multiLevelType w:val="hybridMultilevel"/>
    <w:tmpl w:val="479EEC32"/>
    <w:lvl w:ilvl="0" w:tplc="040C0013">
      <w:start w:val="1"/>
      <w:numFmt w:val="upperRoman"/>
      <w:lvlText w:val="%1."/>
      <w:lvlJc w:val="right"/>
      <w:pPr>
        <w:ind w:left="2138" w:hanging="360"/>
      </w:pPr>
      <w:rPr>
        <w:rFonts w:cs="Times New Roman"/>
      </w:rPr>
    </w:lvl>
    <w:lvl w:ilvl="1" w:tplc="040C0019" w:tentative="1">
      <w:start w:val="1"/>
      <w:numFmt w:val="lowerLetter"/>
      <w:lvlText w:val="%2."/>
      <w:lvlJc w:val="left"/>
      <w:pPr>
        <w:ind w:left="2858" w:hanging="360"/>
      </w:pPr>
      <w:rPr>
        <w:rFonts w:cs="Times New Roman"/>
      </w:rPr>
    </w:lvl>
    <w:lvl w:ilvl="2" w:tplc="040C001B" w:tentative="1">
      <w:start w:val="1"/>
      <w:numFmt w:val="lowerRoman"/>
      <w:lvlText w:val="%3."/>
      <w:lvlJc w:val="right"/>
      <w:pPr>
        <w:ind w:left="3578" w:hanging="180"/>
      </w:pPr>
      <w:rPr>
        <w:rFonts w:cs="Times New Roman"/>
      </w:rPr>
    </w:lvl>
    <w:lvl w:ilvl="3" w:tplc="040C000F" w:tentative="1">
      <w:start w:val="1"/>
      <w:numFmt w:val="decimal"/>
      <w:lvlText w:val="%4."/>
      <w:lvlJc w:val="left"/>
      <w:pPr>
        <w:ind w:left="4298" w:hanging="360"/>
      </w:pPr>
      <w:rPr>
        <w:rFonts w:cs="Times New Roman"/>
      </w:rPr>
    </w:lvl>
    <w:lvl w:ilvl="4" w:tplc="040C0019" w:tentative="1">
      <w:start w:val="1"/>
      <w:numFmt w:val="lowerLetter"/>
      <w:lvlText w:val="%5."/>
      <w:lvlJc w:val="left"/>
      <w:pPr>
        <w:ind w:left="5018" w:hanging="360"/>
      </w:pPr>
      <w:rPr>
        <w:rFonts w:cs="Times New Roman"/>
      </w:rPr>
    </w:lvl>
    <w:lvl w:ilvl="5" w:tplc="040C001B" w:tentative="1">
      <w:start w:val="1"/>
      <w:numFmt w:val="lowerRoman"/>
      <w:lvlText w:val="%6."/>
      <w:lvlJc w:val="right"/>
      <w:pPr>
        <w:ind w:left="5738" w:hanging="180"/>
      </w:pPr>
      <w:rPr>
        <w:rFonts w:cs="Times New Roman"/>
      </w:rPr>
    </w:lvl>
    <w:lvl w:ilvl="6" w:tplc="040C000F" w:tentative="1">
      <w:start w:val="1"/>
      <w:numFmt w:val="decimal"/>
      <w:lvlText w:val="%7."/>
      <w:lvlJc w:val="left"/>
      <w:pPr>
        <w:ind w:left="6458" w:hanging="360"/>
      </w:pPr>
      <w:rPr>
        <w:rFonts w:cs="Times New Roman"/>
      </w:rPr>
    </w:lvl>
    <w:lvl w:ilvl="7" w:tplc="040C0019" w:tentative="1">
      <w:start w:val="1"/>
      <w:numFmt w:val="lowerLetter"/>
      <w:lvlText w:val="%8."/>
      <w:lvlJc w:val="left"/>
      <w:pPr>
        <w:ind w:left="7178" w:hanging="360"/>
      </w:pPr>
      <w:rPr>
        <w:rFonts w:cs="Times New Roman"/>
      </w:rPr>
    </w:lvl>
    <w:lvl w:ilvl="8" w:tplc="040C001B" w:tentative="1">
      <w:start w:val="1"/>
      <w:numFmt w:val="lowerRoman"/>
      <w:lvlText w:val="%9."/>
      <w:lvlJc w:val="right"/>
      <w:pPr>
        <w:ind w:left="7898" w:hanging="180"/>
      </w:pPr>
      <w:rPr>
        <w:rFonts w:cs="Times New Roman"/>
      </w:rPr>
    </w:lvl>
  </w:abstractNum>
  <w:abstractNum w:abstractNumId="4">
    <w:nsid w:val="66581598"/>
    <w:multiLevelType w:val="hybridMultilevel"/>
    <w:tmpl w:val="BE9E6420"/>
    <w:lvl w:ilvl="0" w:tplc="040C0015">
      <w:start w:val="1"/>
      <w:numFmt w:val="upperLetter"/>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oNotTrackMoves/>
  <w:defaultTabStop w:val="708"/>
  <w:hyphenationZone w:val="425"/>
  <w:characterSpacingControl w:val="doNotCompress"/>
  <w:hdrShapeDefaults>
    <o:shapedefaults v:ext="edit" spidmax="4098"/>
    <o:shapelayout v:ext="edit">
      <o:idmap v:ext="edit" data="2"/>
      <o:rules v:ext="edit">
        <o:r id="V:Rule1" type="connector" idref="#_x0000_s2049"/>
      </o:rules>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B6B"/>
    <w:rsid w:val="0005373D"/>
    <w:rsid w:val="000850CA"/>
    <w:rsid w:val="000F263E"/>
    <w:rsid w:val="00135B6B"/>
    <w:rsid w:val="00141708"/>
    <w:rsid w:val="001439CE"/>
    <w:rsid w:val="001B1DD8"/>
    <w:rsid w:val="001D5554"/>
    <w:rsid w:val="00212E26"/>
    <w:rsid w:val="002175E5"/>
    <w:rsid w:val="002474BA"/>
    <w:rsid w:val="00281C14"/>
    <w:rsid w:val="002870BF"/>
    <w:rsid w:val="002F3FFC"/>
    <w:rsid w:val="00325778"/>
    <w:rsid w:val="003430E3"/>
    <w:rsid w:val="00344F4E"/>
    <w:rsid w:val="0038604C"/>
    <w:rsid w:val="003B4807"/>
    <w:rsid w:val="003C6B7B"/>
    <w:rsid w:val="003C7B04"/>
    <w:rsid w:val="003E014F"/>
    <w:rsid w:val="00434FE4"/>
    <w:rsid w:val="004417E7"/>
    <w:rsid w:val="004535FB"/>
    <w:rsid w:val="00456D3B"/>
    <w:rsid w:val="004B15E3"/>
    <w:rsid w:val="004C2B6B"/>
    <w:rsid w:val="004D1524"/>
    <w:rsid w:val="00597472"/>
    <w:rsid w:val="005A4954"/>
    <w:rsid w:val="0063648B"/>
    <w:rsid w:val="006F31DE"/>
    <w:rsid w:val="00721B0E"/>
    <w:rsid w:val="007303E8"/>
    <w:rsid w:val="007E3C7F"/>
    <w:rsid w:val="00865157"/>
    <w:rsid w:val="008764F2"/>
    <w:rsid w:val="008B0DA2"/>
    <w:rsid w:val="008C4D9E"/>
    <w:rsid w:val="00946DED"/>
    <w:rsid w:val="00956515"/>
    <w:rsid w:val="00993B58"/>
    <w:rsid w:val="009F2659"/>
    <w:rsid w:val="00A0068E"/>
    <w:rsid w:val="00AE25E8"/>
    <w:rsid w:val="00B35403"/>
    <w:rsid w:val="00BA54E2"/>
    <w:rsid w:val="00C60F7A"/>
    <w:rsid w:val="00C8585A"/>
    <w:rsid w:val="00CB3921"/>
    <w:rsid w:val="00CB7DB8"/>
    <w:rsid w:val="00D15513"/>
    <w:rsid w:val="00D408C3"/>
    <w:rsid w:val="00D44CBA"/>
    <w:rsid w:val="00D45904"/>
    <w:rsid w:val="00D72552"/>
    <w:rsid w:val="00D956B8"/>
    <w:rsid w:val="00DB5765"/>
    <w:rsid w:val="00DB5FE9"/>
    <w:rsid w:val="00EB09A6"/>
    <w:rsid w:val="00F27E99"/>
    <w:rsid w:val="00F72F15"/>
    <w:rsid w:val="00F912B7"/>
  </w:rsids>
  <m:mathPr>
    <m:mathFont m:val="Cambria Math"/>
    <m:brkBin m:val="before"/>
    <m:brkBinSub m:val="--"/>
    <m:smallFrac m:val="off"/>
    <m:dispDef/>
    <m:lMargin m:val="0"/>
    <m:rMargin m:val="0"/>
    <m:defJc m:val="centerGroup"/>
    <m:wrapIndent m:val="1440"/>
    <m:intLim m:val="subSup"/>
    <m:naryLim m:val="undOvr"/>
  </m:mathPr>
  <w:uiCompat97To2003/>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B6B"/>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C8585A"/>
    <w:rPr>
      <w:rFonts w:ascii="Tahoma" w:eastAsia="Calibri" w:hAnsi="Tahoma" w:cs="Tahoma"/>
      <w:sz w:val="16"/>
      <w:szCs w:val="16"/>
    </w:rPr>
  </w:style>
  <w:style w:type="character" w:customStyle="1" w:styleId="TextedebullesCar">
    <w:name w:val="Texte de bulles Car"/>
    <w:basedOn w:val="Policepardfaut"/>
    <w:link w:val="Textedebulles"/>
    <w:uiPriority w:val="99"/>
    <w:semiHidden/>
    <w:locked/>
    <w:rsid w:val="002175E5"/>
    <w:rPr>
      <w:rFonts w:ascii="Times New Roman" w:hAnsi="Times New Roman" w:cs="Times New Roman"/>
      <w:sz w:val="2"/>
    </w:rPr>
  </w:style>
  <w:style w:type="paragraph" w:styleId="Paragraphedeliste">
    <w:name w:val="List Paragraph"/>
    <w:basedOn w:val="Normal"/>
    <w:uiPriority w:val="99"/>
    <w:qFormat/>
    <w:rsid w:val="00135B6B"/>
    <w:pPr>
      <w:ind w:left="720"/>
      <w:contextualSpacing/>
    </w:pPr>
  </w:style>
  <w:style w:type="paragraph" w:styleId="Notedebasdepage">
    <w:name w:val="footnote text"/>
    <w:basedOn w:val="Normal"/>
    <w:link w:val="NotedebasdepageCar"/>
    <w:uiPriority w:val="99"/>
    <w:rsid w:val="00135B6B"/>
    <w:rPr>
      <w:sz w:val="20"/>
      <w:szCs w:val="20"/>
    </w:rPr>
  </w:style>
  <w:style w:type="character" w:customStyle="1" w:styleId="NotedebasdepageCar">
    <w:name w:val="Note de bas de page Car"/>
    <w:basedOn w:val="Policepardfaut"/>
    <w:link w:val="Notedebasdepage"/>
    <w:uiPriority w:val="99"/>
    <w:locked/>
    <w:rsid w:val="00135B6B"/>
    <w:rPr>
      <w:rFonts w:ascii="Times New Roman" w:hAnsi="Times New Roman" w:cs="Times New Roman"/>
      <w:sz w:val="20"/>
      <w:szCs w:val="20"/>
      <w:lang w:eastAsia="fr-FR"/>
    </w:rPr>
  </w:style>
  <w:style w:type="character" w:styleId="Appelnotedebasdep">
    <w:name w:val="footnote reference"/>
    <w:basedOn w:val="Policepardfaut"/>
    <w:uiPriority w:val="99"/>
    <w:rsid w:val="00135B6B"/>
    <w:rPr>
      <w:rFonts w:cs="Times New Roman"/>
      <w:vertAlign w:val="superscript"/>
    </w:rPr>
  </w:style>
  <w:style w:type="paragraph" w:styleId="En-tte">
    <w:name w:val="header"/>
    <w:basedOn w:val="Normal"/>
    <w:link w:val="En-tteCar"/>
    <w:uiPriority w:val="99"/>
    <w:semiHidden/>
    <w:rsid w:val="00135B6B"/>
    <w:pPr>
      <w:tabs>
        <w:tab w:val="center" w:pos="4536"/>
        <w:tab w:val="right" w:pos="9072"/>
      </w:tabs>
    </w:pPr>
  </w:style>
  <w:style w:type="character" w:customStyle="1" w:styleId="En-tteCar">
    <w:name w:val="En-tête Car"/>
    <w:basedOn w:val="Policepardfaut"/>
    <w:link w:val="En-tte"/>
    <w:uiPriority w:val="99"/>
    <w:semiHidden/>
    <w:locked/>
    <w:rsid w:val="00135B6B"/>
    <w:rPr>
      <w:rFonts w:ascii="Times New Roman" w:hAnsi="Times New Roman" w:cs="Times New Roman"/>
      <w:sz w:val="24"/>
      <w:szCs w:val="24"/>
      <w:lang w:eastAsia="fr-FR"/>
    </w:rPr>
  </w:style>
  <w:style w:type="paragraph" w:styleId="Pieddepage">
    <w:name w:val="footer"/>
    <w:basedOn w:val="Normal"/>
    <w:link w:val="PieddepageCar"/>
    <w:uiPriority w:val="99"/>
    <w:rsid w:val="00135B6B"/>
    <w:pPr>
      <w:tabs>
        <w:tab w:val="center" w:pos="4536"/>
        <w:tab w:val="right" w:pos="9072"/>
      </w:tabs>
    </w:pPr>
  </w:style>
  <w:style w:type="character" w:customStyle="1" w:styleId="PieddepageCar">
    <w:name w:val="Pied de page Car"/>
    <w:basedOn w:val="Policepardfaut"/>
    <w:link w:val="Pieddepage"/>
    <w:uiPriority w:val="99"/>
    <w:locked/>
    <w:rsid w:val="00135B6B"/>
    <w:rPr>
      <w:rFonts w:ascii="Times New Roman" w:hAnsi="Times New Roman" w:cs="Times New Roman"/>
      <w:sz w:val="24"/>
      <w:szCs w:val="24"/>
      <w:lang w:eastAsia="fr-FR"/>
    </w:rPr>
  </w:style>
  <w:style w:type="character" w:styleId="Numrodepage">
    <w:name w:val="page number"/>
    <w:basedOn w:val="Policepardfaut"/>
    <w:uiPriority w:val="99"/>
    <w:rsid w:val="00212E26"/>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596</Words>
  <Characters>3279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CONCLUSION GENERALE</vt:lpstr>
    </vt:vector>
  </TitlesOfParts>
  <Company>SERVICES</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GENERALE</dc:title>
  <dc:subject/>
  <dc:creator>PC27</dc:creator>
  <cp:keywords/>
  <dc:description/>
  <cp:lastModifiedBy>PC27</cp:lastModifiedBy>
  <cp:revision>9</cp:revision>
  <cp:lastPrinted>2011-09-13T10:22:00Z</cp:lastPrinted>
  <dcterms:created xsi:type="dcterms:W3CDTF">2011-06-25T17:25:00Z</dcterms:created>
  <dcterms:modified xsi:type="dcterms:W3CDTF">2011-09-13T13:45:00Z</dcterms:modified>
</cp:coreProperties>
</file>